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1A" w:rsidRDefault="001C6F35" w:rsidP="001C6F35">
      <w:pPr>
        <w:spacing w:after="100" w:afterAutospacing="1" w:line="360" w:lineRule="auto"/>
        <w:jc w:val="center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 xml:space="preserve">Sparta </w:t>
      </w:r>
      <w:proofErr w:type="spellStart"/>
      <w:r>
        <w:rPr>
          <w:rFonts w:eastAsia="Times New Roman" w:cs="Times New Roman"/>
          <w:b/>
          <w:bCs/>
          <w:sz w:val="36"/>
          <w:szCs w:val="36"/>
          <w:lang w:eastAsia="cs-CZ"/>
        </w:rPr>
        <w:t>Head</w:t>
      </w:r>
      <w:proofErr w:type="spellEnd"/>
      <w:r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E40B1A" w:rsidRPr="001B4EB7">
        <w:rPr>
          <w:rFonts w:eastAsia="Times New Roman" w:cs="Times New Roman"/>
          <w:b/>
          <w:bCs/>
          <w:sz w:val="36"/>
          <w:szCs w:val="36"/>
          <w:lang w:eastAsia="cs-CZ"/>
        </w:rPr>
        <w:t>Babytenis</w:t>
      </w:r>
      <w:proofErr w:type="spellEnd"/>
      <w:r w:rsidR="00E40B1A" w:rsidRPr="001B4EB7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Tour – </w:t>
      </w:r>
      <w:r w:rsidR="005748EF">
        <w:rPr>
          <w:rFonts w:eastAsia="Times New Roman" w:cs="Times New Roman"/>
          <w:b/>
          <w:bCs/>
          <w:sz w:val="36"/>
          <w:szCs w:val="36"/>
          <w:lang w:eastAsia="cs-CZ"/>
        </w:rPr>
        <w:t>léto</w:t>
      </w:r>
      <w:r w:rsidR="0099032B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201</w:t>
      </w:r>
      <w:r w:rsidR="00D308FE">
        <w:rPr>
          <w:rFonts w:eastAsia="Times New Roman" w:cs="Times New Roman"/>
          <w:b/>
          <w:bCs/>
          <w:sz w:val="36"/>
          <w:szCs w:val="36"/>
          <w:lang w:eastAsia="cs-CZ"/>
        </w:rPr>
        <w:t>9</w:t>
      </w:r>
    </w:p>
    <w:p w:rsidR="0099032B" w:rsidRPr="006D7768" w:rsidRDefault="001C6F35" w:rsidP="006D7768">
      <w:pPr>
        <w:spacing w:after="100" w:afterAutospacing="1" w:line="360" w:lineRule="auto"/>
        <w:jc w:val="center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1203960" cy="1203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spart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1A" w:rsidRPr="00E40B1A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sz w:val="24"/>
          <w:szCs w:val="24"/>
          <w:lang w:eastAsia="cs-CZ"/>
        </w:rPr>
        <w:t xml:space="preserve">Sparta </w:t>
      </w:r>
      <w:proofErr w:type="spellStart"/>
      <w:r w:rsidRPr="00E40B1A">
        <w:rPr>
          <w:rFonts w:eastAsia="Times New Roman" w:cs="Times New Roman"/>
          <w:sz w:val="24"/>
          <w:szCs w:val="24"/>
          <w:lang w:eastAsia="cs-CZ"/>
        </w:rPr>
        <w:t>Head</w:t>
      </w:r>
      <w:proofErr w:type="spellEnd"/>
      <w:r w:rsidRPr="00E40B1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40B1A">
        <w:rPr>
          <w:rFonts w:eastAsia="Times New Roman" w:cs="Times New Roman"/>
          <w:sz w:val="24"/>
          <w:szCs w:val="24"/>
          <w:lang w:eastAsia="cs-CZ"/>
        </w:rPr>
        <w:t>Babytenis</w:t>
      </w:r>
      <w:proofErr w:type="spellEnd"/>
      <w:r w:rsidRPr="00E40B1A">
        <w:rPr>
          <w:rFonts w:eastAsia="Times New Roman" w:cs="Times New Roman"/>
          <w:sz w:val="24"/>
          <w:szCs w:val="24"/>
          <w:lang w:eastAsia="cs-CZ"/>
        </w:rPr>
        <w:t xml:space="preserve"> Tour je určena pro hráče a h</w:t>
      </w:r>
      <w:r w:rsidRPr="001B4EB7">
        <w:rPr>
          <w:rFonts w:eastAsia="Times New Roman" w:cs="Times New Roman"/>
          <w:sz w:val="24"/>
          <w:szCs w:val="24"/>
          <w:lang w:eastAsia="cs-CZ"/>
        </w:rPr>
        <w:t>ráčky do 9 let (</w:t>
      </w:r>
      <w:r w:rsidRPr="00E40B1A">
        <w:rPr>
          <w:rFonts w:eastAsia="Times New Roman" w:cs="Times New Roman"/>
          <w:sz w:val="24"/>
          <w:szCs w:val="24"/>
          <w:lang w:eastAsia="cs-CZ"/>
        </w:rPr>
        <w:t xml:space="preserve">ročník </w:t>
      </w:r>
      <w:r w:rsidRPr="001B4EB7">
        <w:rPr>
          <w:rFonts w:eastAsia="Times New Roman" w:cs="Times New Roman"/>
          <w:sz w:val="24"/>
          <w:szCs w:val="24"/>
          <w:lang w:eastAsia="cs-CZ"/>
        </w:rPr>
        <w:t xml:space="preserve">narození </w:t>
      </w:r>
      <w:r w:rsidRPr="00E40B1A">
        <w:rPr>
          <w:rFonts w:eastAsia="Times New Roman" w:cs="Times New Roman"/>
          <w:sz w:val="24"/>
          <w:szCs w:val="24"/>
          <w:lang w:eastAsia="cs-CZ"/>
        </w:rPr>
        <w:t>20</w:t>
      </w:r>
      <w:r w:rsidR="00D308FE">
        <w:rPr>
          <w:rFonts w:eastAsia="Times New Roman" w:cs="Times New Roman"/>
          <w:sz w:val="24"/>
          <w:szCs w:val="24"/>
          <w:lang w:eastAsia="cs-CZ"/>
        </w:rPr>
        <w:t>10</w:t>
      </w:r>
      <w:r w:rsidRPr="00E40B1A">
        <w:rPr>
          <w:rFonts w:eastAsia="Times New Roman" w:cs="Times New Roman"/>
          <w:sz w:val="24"/>
          <w:szCs w:val="24"/>
          <w:lang w:eastAsia="cs-CZ"/>
        </w:rPr>
        <w:t>, 20</w:t>
      </w:r>
      <w:r w:rsidR="0099032B">
        <w:rPr>
          <w:rFonts w:eastAsia="Times New Roman" w:cs="Times New Roman"/>
          <w:sz w:val="24"/>
          <w:szCs w:val="24"/>
          <w:lang w:eastAsia="cs-CZ"/>
        </w:rPr>
        <w:t>1</w:t>
      </w:r>
      <w:r w:rsidR="00D308FE">
        <w:rPr>
          <w:rFonts w:eastAsia="Times New Roman" w:cs="Times New Roman"/>
          <w:sz w:val="24"/>
          <w:szCs w:val="24"/>
          <w:lang w:eastAsia="cs-CZ"/>
        </w:rPr>
        <w:t>1</w:t>
      </w:r>
      <w:r w:rsidR="005748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E40B1A">
        <w:rPr>
          <w:rFonts w:eastAsia="Times New Roman" w:cs="Times New Roman"/>
          <w:sz w:val="24"/>
          <w:szCs w:val="24"/>
          <w:lang w:eastAsia="cs-CZ"/>
        </w:rPr>
        <w:t xml:space="preserve">a případně mladší). </w:t>
      </w:r>
    </w:p>
    <w:p w:rsidR="00E40B1A" w:rsidRPr="001B4EB7" w:rsidRDefault="005748EF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Letní </w:t>
      </w:r>
      <w:r w:rsidR="00E40B1A" w:rsidRPr="00E40B1A">
        <w:rPr>
          <w:rFonts w:eastAsia="Times New Roman" w:cs="Times New Roman"/>
          <w:sz w:val="24"/>
          <w:szCs w:val="24"/>
          <w:lang w:eastAsia="cs-CZ"/>
        </w:rPr>
        <w:t xml:space="preserve">série zahrnuje </w:t>
      </w:r>
      <w:r>
        <w:rPr>
          <w:rFonts w:eastAsia="Times New Roman" w:cs="Times New Roman"/>
          <w:sz w:val="24"/>
          <w:szCs w:val="24"/>
          <w:lang w:eastAsia="cs-CZ"/>
        </w:rPr>
        <w:t>5</w:t>
      </w:r>
      <w:r w:rsidR="00E40B1A" w:rsidRPr="00E40B1A">
        <w:rPr>
          <w:rFonts w:eastAsia="Times New Roman" w:cs="Times New Roman"/>
          <w:sz w:val="24"/>
          <w:szCs w:val="24"/>
          <w:lang w:eastAsia="cs-CZ"/>
        </w:rPr>
        <w:t xml:space="preserve"> turnaj</w:t>
      </w:r>
      <w:r>
        <w:rPr>
          <w:rFonts w:eastAsia="Times New Roman" w:cs="Times New Roman"/>
          <w:sz w:val="24"/>
          <w:szCs w:val="24"/>
          <w:lang w:eastAsia="cs-CZ"/>
        </w:rPr>
        <w:t>ů</w:t>
      </w:r>
      <w:r w:rsidR="00E40B1A" w:rsidRPr="00E40B1A">
        <w:rPr>
          <w:rFonts w:eastAsia="Times New Roman" w:cs="Times New Roman"/>
          <w:sz w:val="24"/>
          <w:szCs w:val="24"/>
          <w:lang w:eastAsia="cs-CZ"/>
        </w:rPr>
        <w:t xml:space="preserve"> základní části. </w:t>
      </w:r>
      <w:r>
        <w:rPr>
          <w:rFonts w:eastAsia="Times New Roman" w:cs="Times New Roman"/>
          <w:sz w:val="24"/>
          <w:szCs w:val="24"/>
          <w:lang w:eastAsia="cs-CZ"/>
        </w:rPr>
        <w:t xml:space="preserve">1 turnaj čtyřher, 1 turnaj smíšený,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eastAsia="cs-CZ"/>
        </w:rPr>
        <w:t>tzn.dívky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a chlapci dohromady, 2 turnaje na Spartě a 1 na Olympu.</w:t>
      </w:r>
    </w:p>
    <w:p w:rsidR="00E40B1A" w:rsidRPr="00E06333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06333">
        <w:rPr>
          <w:rFonts w:eastAsia="Times New Roman" w:cs="Times New Roman"/>
          <w:sz w:val="24"/>
          <w:szCs w:val="24"/>
          <w:lang w:eastAsia="cs-CZ"/>
        </w:rPr>
        <w:t xml:space="preserve">Do závěrečného </w:t>
      </w:r>
      <w:proofErr w:type="spellStart"/>
      <w:r w:rsidRPr="00E06333">
        <w:rPr>
          <w:rFonts w:eastAsia="Times New Roman" w:cs="Times New Roman"/>
          <w:sz w:val="24"/>
          <w:szCs w:val="24"/>
          <w:lang w:eastAsia="cs-CZ"/>
        </w:rPr>
        <w:t>Masters</w:t>
      </w:r>
      <w:proofErr w:type="spellEnd"/>
      <w:r w:rsidRPr="00E06333">
        <w:rPr>
          <w:rFonts w:eastAsia="Times New Roman" w:cs="Times New Roman"/>
          <w:sz w:val="24"/>
          <w:szCs w:val="24"/>
          <w:lang w:eastAsia="cs-CZ"/>
        </w:rPr>
        <w:t xml:space="preserve">, které se koná </w:t>
      </w:r>
      <w:r w:rsidR="005748EF">
        <w:rPr>
          <w:rFonts w:eastAsia="Times New Roman" w:cs="Times New Roman"/>
          <w:sz w:val="24"/>
          <w:szCs w:val="24"/>
          <w:lang w:eastAsia="cs-CZ"/>
        </w:rPr>
        <w:t>1.9</w:t>
      </w:r>
      <w:r w:rsidR="0099032B" w:rsidRPr="00E06333">
        <w:rPr>
          <w:rFonts w:eastAsia="Times New Roman" w:cs="Times New Roman"/>
          <w:sz w:val="24"/>
          <w:szCs w:val="24"/>
          <w:lang w:eastAsia="cs-CZ"/>
        </w:rPr>
        <w:t>.201</w:t>
      </w:r>
      <w:r w:rsidR="00D308FE" w:rsidRPr="00E06333">
        <w:rPr>
          <w:rFonts w:eastAsia="Times New Roman" w:cs="Times New Roman"/>
          <w:sz w:val="24"/>
          <w:szCs w:val="24"/>
          <w:lang w:eastAsia="cs-CZ"/>
        </w:rPr>
        <w:t>9</w:t>
      </w:r>
      <w:r w:rsidRPr="00E06333">
        <w:rPr>
          <w:rFonts w:eastAsia="Times New Roman" w:cs="Times New Roman"/>
          <w:sz w:val="24"/>
          <w:szCs w:val="24"/>
          <w:lang w:eastAsia="cs-CZ"/>
        </w:rPr>
        <w:t xml:space="preserve"> (změna termínu </w:t>
      </w:r>
      <w:proofErr w:type="spellStart"/>
      <w:r w:rsidRPr="00E06333">
        <w:rPr>
          <w:rFonts w:eastAsia="Times New Roman" w:cs="Times New Roman"/>
          <w:sz w:val="24"/>
          <w:szCs w:val="24"/>
          <w:lang w:eastAsia="cs-CZ"/>
        </w:rPr>
        <w:t>Masters</w:t>
      </w:r>
      <w:proofErr w:type="spellEnd"/>
      <w:r w:rsidRPr="00E06333">
        <w:rPr>
          <w:rFonts w:eastAsia="Times New Roman" w:cs="Times New Roman"/>
          <w:sz w:val="24"/>
          <w:szCs w:val="24"/>
          <w:lang w:eastAsia="cs-CZ"/>
        </w:rPr>
        <w:t xml:space="preserve"> vyhrazena)</w:t>
      </w:r>
      <w:r w:rsidR="00061160" w:rsidRPr="00E06333">
        <w:rPr>
          <w:rFonts w:eastAsia="Times New Roman" w:cs="Times New Roman"/>
          <w:sz w:val="24"/>
          <w:szCs w:val="24"/>
          <w:lang w:eastAsia="cs-CZ"/>
        </w:rPr>
        <w:t>,</w:t>
      </w:r>
      <w:r w:rsidRPr="00E06333">
        <w:rPr>
          <w:rFonts w:eastAsia="Times New Roman" w:cs="Times New Roman"/>
          <w:sz w:val="24"/>
          <w:szCs w:val="24"/>
          <w:lang w:eastAsia="cs-CZ"/>
        </w:rPr>
        <w:t xml:space="preserve"> se započítá</w:t>
      </w:r>
      <w:r w:rsidR="00120B12">
        <w:rPr>
          <w:rFonts w:eastAsia="Times New Roman" w:cs="Times New Roman"/>
          <w:sz w:val="24"/>
          <w:szCs w:val="24"/>
          <w:lang w:eastAsia="cs-CZ"/>
        </w:rPr>
        <w:t xml:space="preserve">vají 4 nejlepší </w:t>
      </w:r>
      <w:r w:rsidR="0099032B" w:rsidRPr="00E06333">
        <w:rPr>
          <w:rFonts w:eastAsia="Times New Roman" w:cs="Times New Roman"/>
          <w:sz w:val="24"/>
          <w:szCs w:val="24"/>
          <w:lang w:eastAsia="cs-CZ"/>
        </w:rPr>
        <w:t>turnaj</w:t>
      </w:r>
      <w:r w:rsidR="00120B12">
        <w:rPr>
          <w:rFonts w:eastAsia="Times New Roman" w:cs="Times New Roman"/>
          <w:sz w:val="24"/>
          <w:szCs w:val="24"/>
          <w:lang w:eastAsia="cs-CZ"/>
        </w:rPr>
        <w:t xml:space="preserve">e ze </w:t>
      </w:r>
      <w:r w:rsidR="0099032B" w:rsidRPr="00E06333">
        <w:rPr>
          <w:rFonts w:eastAsia="Times New Roman" w:cs="Times New Roman"/>
          <w:sz w:val="24"/>
          <w:szCs w:val="24"/>
          <w:lang w:eastAsia="cs-CZ"/>
        </w:rPr>
        <w:t>základní části</w:t>
      </w:r>
      <w:r w:rsidR="00424A4E">
        <w:rPr>
          <w:rFonts w:eastAsia="Times New Roman" w:cs="Times New Roman"/>
          <w:sz w:val="24"/>
          <w:szCs w:val="24"/>
          <w:lang w:eastAsia="cs-CZ"/>
        </w:rPr>
        <w:t xml:space="preserve"> z </w:t>
      </w:r>
      <w:proofErr w:type="gramStart"/>
      <w:r w:rsidR="00424A4E">
        <w:rPr>
          <w:rFonts w:eastAsia="Times New Roman" w:cs="Times New Roman"/>
          <w:sz w:val="24"/>
          <w:szCs w:val="24"/>
          <w:lang w:eastAsia="cs-CZ"/>
        </w:rPr>
        <w:t xml:space="preserve">pěti  </w:t>
      </w:r>
      <w:r w:rsidR="00967ACF">
        <w:rPr>
          <w:rFonts w:eastAsia="Times New Roman" w:cs="Times New Roman"/>
          <w:sz w:val="24"/>
          <w:szCs w:val="24"/>
          <w:lang w:eastAsia="cs-CZ"/>
        </w:rPr>
        <w:t>možných</w:t>
      </w:r>
      <w:proofErr w:type="gramEnd"/>
      <w:r w:rsidR="00967ACF">
        <w:rPr>
          <w:rFonts w:eastAsia="Times New Roman" w:cs="Times New Roman"/>
          <w:sz w:val="24"/>
          <w:szCs w:val="24"/>
          <w:lang w:eastAsia="cs-CZ"/>
        </w:rPr>
        <w:t>.</w:t>
      </w:r>
    </w:p>
    <w:p w:rsidR="001B4EB7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sz w:val="24"/>
          <w:szCs w:val="24"/>
          <w:lang w:eastAsia="cs-CZ"/>
        </w:rPr>
        <w:t>Hraje se buď od s</w:t>
      </w:r>
      <w:r w:rsidR="006D7768">
        <w:rPr>
          <w:rFonts w:eastAsia="Times New Roman" w:cs="Times New Roman"/>
          <w:sz w:val="24"/>
          <w:szCs w:val="24"/>
          <w:lang w:eastAsia="cs-CZ"/>
        </w:rPr>
        <w:t xml:space="preserve">tavu 0:0 do čtyř vítězných </w:t>
      </w:r>
      <w:proofErr w:type="spellStart"/>
      <w:r w:rsidR="006D7768">
        <w:rPr>
          <w:rFonts w:eastAsia="Times New Roman" w:cs="Times New Roman"/>
          <w:sz w:val="24"/>
          <w:szCs w:val="24"/>
          <w:lang w:eastAsia="cs-CZ"/>
        </w:rPr>
        <w:t>gemů</w:t>
      </w:r>
      <w:proofErr w:type="spellEnd"/>
      <w:r w:rsidR="006D7768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E40B1A">
        <w:rPr>
          <w:rFonts w:eastAsia="Times New Roman" w:cs="Times New Roman"/>
          <w:sz w:val="24"/>
          <w:szCs w:val="24"/>
          <w:lang w:eastAsia="cs-CZ"/>
        </w:rPr>
        <w:t xml:space="preserve">nebo od stavu 2:2 do konce setu. Určuje se podle počtu prezentovaných dětí. Obě kategorie probíhají ve stejný den. Útěcha se nehraje. Hraje se míčky 25% redukce značky </w:t>
      </w:r>
      <w:proofErr w:type="spellStart"/>
      <w:r w:rsidRPr="00E40B1A">
        <w:rPr>
          <w:rFonts w:eastAsia="Times New Roman" w:cs="Times New Roman"/>
          <w:sz w:val="24"/>
          <w:szCs w:val="24"/>
          <w:lang w:eastAsia="cs-CZ"/>
        </w:rPr>
        <w:t>Head</w:t>
      </w:r>
      <w:proofErr w:type="spellEnd"/>
      <w:r w:rsidRPr="00E40B1A">
        <w:rPr>
          <w:rFonts w:eastAsia="Times New Roman" w:cs="Times New Roman"/>
          <w:sz w:val="24"/>
          <w:szCs w:val="24"/>
          <w:lang w:eastAsia="cs-CZ"/>
        </w:rPr>
        <w:t>.</w:t>
      </w:r>
      <w:r w:rsidR="001B4EB7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A47F2" w:rsidRPr="001A3ECF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1A3ECF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Dbáme na to, aby se rodiče jakkoliv nevměšovali do hry svého dítěte. Pokud se poruší toto pravidlo, následuje napomenutí hráče, po dalším porušení následuje trestný bod, gem a nakonec skreč zápasu. To samé platí i při nepřiměřeném chování hráče.</w:t>
      </w:r>
    </w:p>
    <w:p w:rsidR="0099032B" w:rsidRDefault="0099032B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40B1A" w:rsidRPr="00E40B1A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Podrobný popis akce:</w:t>
      </w:r>
    </w:p>
    <w:p w:rsidR="00E40B1A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sz w:val="24"/>
          <w:szCs w:val="24"/>
          <w:lang w:eastAsia="cs-CZ"/>
        </w:rPr>
        <w:t xml:space="preserve">Po ukončení prezentace následuje rozlosování hráčů do skupin. 1. hráče do skupiny nasazujeme dle průběžně vedené tabulky, ostatní hráče </w:t>
      </w:r>
      <w:proofErr w:type="spellStart"/>
      <w:r w:rsidRPr="00E40B1A">
        <w:rPr>
          <w:rFonts w:eastAsia="Times New Roman" w:cs="Times New Roman"/>
          <w:sz w:val="24"/>
          <w:szCs w:val="24"/>
          <w:lang w:eastAsia="cs-CZ"/>
        </w:rPr>
        <w:t>dolosujeme</w:t>
      </w:r>
      <w:proofErr w:type="spellEnd"/>
      <w:r w:rsidRPr="00E40B1A">
        <w:rPr>
          <w:rFonts w:eastAsia="Times New Roman" w:cs="Times New Roman"/>
          <w:sz w:val="24"/>
          <w:szCs w:val="24"/>
          <w:lang w:eastAsia="cs-CZ"/>
        </w:rPr>
        <w:t>. Na první turnaj</w:t>
      </w:r>
      <w:r w:rsidR="005748EF">
        <w:rPr>
          <w:rFonts w:eastAsia="Times New Roman" w:cs="Times New Roman"/>
          <w:sz w:val="24"/>
          <w:szCs w:val="24"/>
          <w:lang w:eastAsia="cs-CZ"/>
        </w:rPr>
        <w:t xml:space="preserve">i </w:t>
      </w:r>
      <w:r w:rsidRPr="00E40B1A">
        <w:rPr>
          <w:rFonts w:eastAsia="Times New Roman" w:cs="Times New Roman"/>
          <w:sz w:val="24"/>
          <w:szCs w:val="24"/>
          <w:lang w:eastAsia="cs-CZ"/>
        </w:rPr>
        <w:t>v</w:t>
      </w:r>
      <w:r w:rsidR="005748EF">
        <w:rPr>
          <w:rFonts w:eastAsia="Times New Roman" w:cs="Times New Roman"/>
          <w:sz w:val="24"/>
          <w:szCs w:val="24"/>
          <w:lang w:eastAsia="cs-CZ"/>
        </w:rPr>
        <w:t xml:space="preserve"> letní </w:t>
      </w:r>
      <w:r w:rsidRPr="00E40B1A">
        <w:rPr>
          <w:rFonts w:eastAsia="Times New Roman" w:cs="Times New Roman"/>
          <w:sz w:val="24"/>
          <w:szCs w:val="24"/>
          <w:lang w:eastAsia="cs-CZ"/>
        </w:rPr>
        <w:t xml:space="preserve">sezóně nasazujeme hráče, kteří se umístili </w:t>
      </w:r>
      <w:proofErr w:type="gramStart"/>
      <w:r w:rsidRPr="00E40B1A">
        <w:rPr>
          <w:rFonts w:eastAsia="Times New Roman" w:cs="Times New Roman"/>
          <w:sz w:val="24"/>
          <w:szCs w:val="24"/>
          <w:lang w:eastAsia="cs-CZ"/>
        </w:rPr>
        <w:t>v  tabulce</w:t>
      </w:r>
      <w:proofErr w:type="gramEnd"/>
      <w:r w:rsidRPr="00E40B1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748EF">
        <w:rPr>
          <w:rFonts w:eastAsia="Times New Roman" w:cs="Times New Roman"/>
          <w:sz w:val="24"/>
          <w:szCs w:val="24"/>
          <w:lang w:eastAsia="cs-CZ"/>
        </w:rPr>
        <w:t xml:space="preserve">zimní </w:t>
      </w:r>
      <w:r w:rsidRPr="00E40B1A">
        <w:rPr>
          <w:rFonts w:eastAsia="Times New Roman" w:cs="Times New Roman"/>
          <w:sz w:val="24"/>
          <w:szCs w:val="24"/>
          <w:lang w:eastAsia="cs-CZ"/>
        </w:rPr>
        <w:t xml:space="preserve">sezóny. Vždy nasazuje 1. hráče do skupiny A, 2. hráče do skupiny B atd. Počet skupin je závislý na počtu přihlášených. Odvíjí se od čtyřčlenné skupiny, </w:t>
      </w:r>
      <w:r w:rsidRPr="00E06333">
        <w:rPr>
          <w:rFonts w:eastAsia="Times New Roman" w:cs="Times New Roman"/>
          <w:sz w:val="24"/>
          <w:szCs w:val="24"/>
          <w:lang w:eastAsia="cs-CZ"/>
        </w:rPr>
        <w:t xml:space="preserve">pak doplňujeme pátého hráče od </w:t>
      </w:r>
      <w:r w:rsidR="00D308FE" w:rsidRPr="00E06333">
        <w:rPr>
          <w:rFonts w:eastAsia="Times New Roman" w:cs="Times New Roman"/>
          <w:sz w:val="24"/>
          <w:szCs w:val="24"/>
          <w:lang w:eastAsia="cs-CZ"/>
        </w:rPr>
        <w:t>poslední skupiny, směrem ke skupině první, (</w:t>
      </w:r>
      <w:r w:rsidR="001A3ECF" w:rsidRPr="00E06333">
        <w:rPr>
          <w:rFonts w:eastAsia="Times New Roman" w:cs="Times New Roman"/>
          <w:sz w:val="24"/>
          <w:szCs w:val="24"/>
          <w:lang w:eastAsia="cs-CZ"/>
        </w:rPr>
        <w:t xml:space="preserve">skupině </w:t>
      </w:r>
      <w:r w:rsidR="00D308FE" w:rsidRPr="00E06333">
        <w:rPr>
          <w:rFonts w:eastAsia="Times New Roman" w:cs="Times New Roman"/>
          <w:sz w:val="24"/>
          <w:szCs w:val="24"/>
          <w:lang w:eastAsia="cs-CZ"/>
        </w:rPr>
        <w:t>A),</w:t>
      </w:r>
      <w:r w:rsidRPr="00E06333">
        <w:rPr>
          <w:rFonts w:eastAsia="Times New Roman" w:cs="Times New Roman"/>
          <w:sz w:val="24"/>
          <w:szCs w:val="24"/>
          <w:lang w:eastAsia="cs-CZ"/>
        </w:rPr>
        <w:t xml:space="preserve"> atd. Ze skupiny postupují dva hráči nejlépe umístění. O turnaj se po celou dobu starají 4 profesionální trenéři nebo rozhodčí, kteří spolu komunikují přes vysílačky</w:t>
      </w:r>
      <w:r w:rsidR="00D308FE" w:rsidRPr="00E06333">
        <w:rPr>
          <w:rFonts w:eastAsia="Times New Roman" w:cs="Times New Roman"/>
          <w:sz w:val="24"/>
          <w:szCs w:val="24"/>
          <w:lang w:eastAsia="cs-CZ"/>
        </w:rPr>
        <w:t>, popř. mobilní telefony</w:t>
      </w:r>
      <w:r w:rsidRPr="00E06333">
        <w:rPr>
          <w:rFonts w:eastAsia="Times New Roman" w:cs="Times New Roman"/>
          <w:sz w:val="24"/>
          <w:szCs w:val="24"/>
          <w:lang w:eastAsia="cs-CZ"/>
        </w:rPr>
        <w:t>. Jde nám o to, aby děti dlouho nečekaly na své zá</w:t>
      </w:r>
      <w:r w:rsidRPr="00E40B1A">
        <w:rPr>
          <w:rFonts w:eastAsia="Times New Roman" w:cs="Times New Roman"/>
          <w:sz w:val="24"/>
          <w:szCs w:val="24"/>
          <w:lang w:eastAsia="cs-CZ"/>
        </w:rPr>
        <w:t>pasy, v restauraci na</w:t>
      </w:r>
      <w:r w:rsidR="005748EF">
        <w:rPr>
          <w:rFonts w:eastAsia="Times New Roman" w:cs="Times New Roman"/>
          <w:sz w:val="24"/>
          <w:szCs w:val="24"/>
          <w:lang w:eastAsia="cs-CZ"/>
        </w:rPr>
        <w:t xml:space="preserve"> tabuli</w:t>
      </w:r>
      <w:r w:rsidRPr="00E40B1A">
        <w:rPr>
          <w:rFonts w:eastAsia="Times New Roman" w:cs="Times New Roman"/>
          <w:sz w:val="24"/>
          <w:szCs w:val="24"/>
          <w:lang w:eastAsia="cs-CZ"/>
        </w:rPr>
        <w:t xml:space="preserve"> je </w:t>
      </w:r>
      <w:r w:rsidR="005748EF">
        <w:rPr>
          <w:rFonts w:eastAsia="Times New Roman" w:cs="Times New Roman"/>
          <w:sz w:val="24"/>
          <w:szCs w:val="24"/>
          <w:lang w:eastAsia="cs-CZ"/>
        </w:rPr>
        <w:t>rozlosování a rozpis zápasů.</w:t>
      </w:r>
      <w:r w:rsidRPr="00E40B1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961A3">
        <w:rPr>
          <w:rFonts w:eastAsia="Times New Roman" w:cs="Times New Roman"/>
          <w:sz w:val="24"/>
          <w:szCs w:val="24"/>
          <w:lang w:eastAsia="cs-CZ"/>
        </w:rPr>
        <w:t>Hraje</w:t>
      </w:r>
      <w:r w:rsidR="008C7385">
        <w:rPr>
          <w:rFonts w:eastAsia="Times New Roman" w:cs="Times New Roman"/>
          <w:sz w:val="24"/>
          <w:szCs w:val="24"/>
          <w:lang w:eastAsia="cs-CZ"/>
        </w:rPr>
        <w:t xml:space="preserve"> se</w:t>
      </w:r>
      <w:r w:rsidR="007961A3">
        <w:rPr>
          <w:rFonts w:eastAsia="Times New Roman" w:cs="Times New Roman"/>
          <w:sz w:val="24"/>
          <w:szCs w:val="24"/>
          <w:lang w:eastAsia="cs-CZ"/>
        </w:rPr>
        <w:t xml:space="preserve"> podle „Pravidel tenisu</w:t>
      </w:r>
      <w:r w:rsidR="008C7385">
        <w:rPr>
          <w:rFonts w:eastAsia="Times New Roman" w:cs="Times New Roman"/>
          <w:sz w:val="24"/>
          <w:szCs w:val="24"/>
          <w:lang w:eastAsia="cs-CZ"/>
        </w:rPr>
        <w:t>“</w:t>
      </w:r>
      <w:r w:rsidR="007961A3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8C7385">
        <w:rPr>
          <w:rFonts w:eastAsia="Times New Roman" w:cs="Times New Roman"/>
          <w:sz w:val="24"/>
          <w:szCs w:val="24"/>
          <w:lang w:eastAsia="cs-CZ"/>
        </w:rPr>
        <w:t>„</w:t>
      </w:r>
      <w:r w:rsidR="007961A3">
        <w:rPr>
          <w:rFonts w:eastAsia="Times New Roman" w:cs="Times New Roman"/>
          <w:sz w:val="24"/>
          <w:szCs w:val="24"/>
          <w:lang w:eastAsia="cs-CZ"/>
        </w:rPr>
        <w:t>Soutěžní</w:t>
      </w:r>
      <w:r w:rsidR="008C7385">
        <w:rPr>
          <w:rFonts w:eastAsia="Times New Roman" w:cs="Times New Roman"/>
          <w:sz w:val="24"/>
          <w:szCs w:val="24"/>
          <w:lang w:eastAsia="cs-CZ"/>
        </w:rPr>
        <w:t>ho</w:t>
      </w:r>
      <w:r w:rsidR="007961A3">
        <w:rPr>
          <w:rFonts w:eastAsia="Times New Roman" w:cs="Times New Roman"/>
          <w:sz w:val="24"/>
          <w:szCs w:val="24"/>
          <w:lang w:eastAsia="cs-CZ"/>
        </w:rPr>
        <w:t xml:space="preserve"> řád</w:t>
      </w:r>
      <w:r w:rsidR="008C7385">
        <w:rPr>
          <w:rFonts w:eastAsia="Times New Roman" w:cs="Times New Roman"/>
          <w:sz w:val="24"/>
          <w:szCs w:val="24"/>
          <w:lang w:eastAsia="cs-CZ"/>
        </w:rPr>
        <w:t>u“</w:t>
      </w:r>
      <w:r w:rsidR="007961A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C7385">
        <w:rPr>
          <w:rFonts w:eastAsia="Times New Roman" w:cs="Times New Roman"/>
          <w:sz w:val="24"/>
          <w:szCs w:val="24"/>
          <w:lang w:eastAsia="cs-CZ"/>
        </w:rPr>
        <w:t>–</w:t>
      </w:r>
      <w:r w:rsidR="007961A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C7385">
        <w:rPr>
          <w:rFonts w:eastAsia="Times New Roman" w:cs="Times New Roman"/>
          <w:sz w:val="24"/>
          <w:szCs w:val="24"/>
          <w:lang w:eastAsia="cs-CZ"/>
        </w:rPr>
        <w:lastRenderedPageBreak/>
        <w:t>„</w:t>
      </w:r>
      <w:r w:rsidR="007961A3">
        <w:rPr>
          <w:rFonts w:eastAsia="Times New Roman" w:cs="Times New Roman"/>
          <w:sz w:val="24"/>
          <w:szCs w:val="24"/>
          <w:lang w:eastAsia="cs-CZ"/>
        </w:rPr>
        <w:t>Prováděcí</w:t>
      </w:r>
      <w:r w:rsidR="008C7385">
        <w:rPr>
          <w:rFonts w:eastAsia="Times New Roman" w:cs="Times New Roman"/>
          <w:sz w:val="24"/>
          <w:szCs w:val="24"/>
          <w:lang w:eastAsia="cs-CZ"/>
        </w:rPr>
        <w:t>ho</w:t>
      </w:r>
      <w:r w:rsidR="007961A3">
        <w:rPr>
          <w:rFonts w:eastAsia="Times New Roman" w:cs="Times New Roman"/>
          <w:sz w:val="24"/>
          <w:szCs w:val="24"/>
          <w:lang w:eastAsia="cs-CZ"/>
        </w:rPr>
        <w:t xml:space="preserve"> předpis</w:t>
      </w:r>
      <w:r w:rsidR="008C7385">
        <w:rPr>
          <w:rFonts w:eastAsia="Times New Roman" w:cs="Times New Roman"/>
          <w:sz w:val="24"/>
          <w:szCs w:val="24"/>
          <w:lang w:eastAsia="cs-CZ"/>
        </w:rPr>
        <w:t>u</w:t>
      </w:r>
      <w:r w:rsidR="007961A3">
        <w:rPr>
          <w:rFonts w:eastAsia="Times New Roman" w:cs="Times New Roman"/>
          <w:sz w:val="24"/>
          <w:szCs w:val="24"/>
          <w:lang w:eastAsia="cs-CZ"/>
        </w:rPr>
        <w:t xml:space="preserve"> k čl. 32</w:t>
      </w:r>
      <w:r w:rsidR="008C7385">
        <w:rPr>
          <w:rFonts w:eastAsia="Times New Roman" w:cs="Times New Roman"/>
          <w:sz w:val="24"/>
          <w:szCs w:val="24"/>
          <w:lang w:eastAsia="cs-CZ"/>
        </w:rPr>
        <w:t xml:space="preserve">“ – </w:t>
      </w:r>
      <w:proofErr w:type="gramStart"/>
      <w:r w:rsidR="008C7385">
        <w:rPr>
          <w:rFonts w:eastAsia="Times New Roman" w:cs="Times New Roman"/>
          <w:sz w:val="24"/>
          <w:szCs w:val="24"/>
          <w:lang w:eastAsia="cs-CZ"/>
        </w:rPr>
        <w:t>„</w:t>
      </w:r>
      <w:r w:rsidR="007961A3">
        <w:rPr>
          <w:rFonts w:eastAsia="Times New Roman" w:cs="Times New Roman"/>
          <w:sz w:val="24"/>
          <w:szCs w:val="24"/>
          <w:lang w:eastAsia="cs-CZ"/>
        </w:rPr>
        <w:t xml:space="preserve"> Manuál</w:t>
      </w:r>
      <w:proofErr w:type="gramEnd"/>
      <w:r w:rsidR="007961A3">
        <w:rPr>
          <w:rFonts w:eastAsia="Times New Roman" w:cs="Times New Roman"/>
          <w:sz w:val="24"/>
          <w:szCs w:val="24"/>
          <w:lang w:eastAsia="cs-CZ"/>
        </w:rPr>
        <w:t xml:space="preserve"> pro hru bez hlavního rozhodčího“</w:t>
      </w:r>
      <w:r w:rsidR="008C7385">
        <w:rPr>
          <w:rFonts w:eastAsia="Times New Roman" w:cs="Times New Roman"/>
          <w:sz w:val="24"/>
          <w:szCs w:val="24"/>
          <w:lang w:eastAsia="cs-CZ"/>
        </w:rPr>
        <w:t xml:space="preserve">. Pravidla tenisu a </w:t>
      </w:r>
      <w:r w:rsidR="006971BE">
        <w:rPr>
          <w:rFonts w:eastAsia="Times New Roman" w:cs="Times New Roman"/>
          <w:sz w:val="24"/>
          <w:szCs w:val="24"/>
          <w:lang w:eastAsia="cs-CZ"/>
        </w:rPr>
        <w:t>řád</w:t>
      </w:r>
      <w:r w:rsidR="008C7385">
        <w:rPr>
          <w:rFonts w:eastAsia="Times New Roman" w:cs="Times New Roman"/>
          <w:sz w:val="24"/>
          <w:szCs w:val="24"/>
          <w:lang w:eastAsia="cs-CZ"/>
        </w:rPr>
        <w:t>y</w:t>
      </w:r>
      <w:r w:rsidR="006971B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C7385">
        <w:rPr>
          <w:rFonts w:eastAsia="Times New Roman" w:cs="Times New Roman"/>
          <w:sz w:val="24"/>
          <w:szCs w:val="24"/>
          <w:lang w:eastAsia="cs-CZ"/>
        </w:rPr>
        <w:t>jsou uvedeny</w:t>
      </w:r>
      <w:r w:rsidR="006971BE">
        <w:rPr>
          <w:rFonts w:eastAsia="Times New Roman" w:cs="Times New Roman"/>
          <w:sz w:val="24"/>
          <w:szCs w:val="24"/>
          <w:lang w:eastAsia="cs-CZ"/>
        </w:rPr>
        <w:t xml:space="preserve"> na webu Českého tenisového svazu</w:t>
      </w:r>
      <w:r w:rsidR="008C7385">
        <w:rPr>
          <w:rFonts w:eastAsia="Times New Roman" w:cs="Times New Roman"/>
          <w:sz w:val="24"/>
          <w:szCs w:val="24"/>
          <w:lang w:eastAsia="cs-CZ"/>
        </w:rPr>
        <w:t>.</w:t>
      </w:r>
      <w:r w:rsidRPr="00E40B1A">
        <w:rPr>
          <w:rFonts w:eastAsia="Times New Roman" w:cs="Times New Roman"/>
          <w:sz w:val="24"/>
          <w:szCs w:val="24"/>
          <w:lang w:eastAsia="cs-CZ"/>
        </w:rPr>
        <w:t> </w:t>
      </w:r>
    </w:p>
    <w:p w:rsidR="00967ACF" w:rsidRPr="00967ACF" w:rsidRDefault="00967ACF" w:rsidP="00967ACF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b/>
          <w:color w:val="000000"/>
          <w:sz w:val="24"/>
          <w:szCs w:val="24"/>
        </w:rPr>
      </w:pPr>
      <w:r w:rsidRPr="00967ACF">
        <w:rPr>
          <w:rFonts w:ascii="TT1Ao00" w:hAnsi="TT1Ao00" w:cs="TT1Ao00"/>
          <w:b/>
          <w:color w:val="000000"/>
          <w:sz w:val="24"/>
          <w:szCs w:val="24"/>
        </w:rPr>
        <w:t>Turnaj čtyřher:</w:t>
      </w:r>
    </w:p>
    <w:p w:rsidR="00967ACF" w:rsidRPr="006E4D0E" w:rsidRDefault="00967ACF" w:rsidP="00967ACF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TT19o00" w:hAnsi="TT19o00" w:cs="TT19o00"/>
          <w:color w:val="000000"/>
          <w:sz w:val="24"/>
          <w:szCs w:val="24"/>
        </w:rPr>
        <w:t xml:space="preserve">Pořádá se pouze v letní sérii. Hrají chlapci a děvčata dohromady, tj. dvojice může být vytvořena jak pouze z dívek, tak pouze z chlapců nebo mix (dívka, chlapec). Nasazuje se podle součtu bodů dvojice. Hrací systém je stejný jako u ostatních základních turnajů, akorát získané body se rozdělí do deblového páru rovným dílem. Vytvořené dvojice posílejte před turnajem emailem na </w:t>
      </w:r>
      <w:hyperlink r:id="rId6" w:history="1">
        <w:r w:rsidRPr="006B073E">
          <w:rPr>
            <w:rStyle w:val="Hypertextovodkaz"/>
            <w:rFonts w:ascii="TT1Bo00" w:hAnsi="TT1Bo00" w:cs="TT1Bo00"/>
            <w:sz w:val="24"/>
            <w:szCs w:val="24"/>
          </w:rPr>
          <w:t>ariklova@seznam.cz</w:t>
        </w:r>
      </w:hyperlink>
    </w:p>
    <w:p w:rsidR="00967ACF" w:rsidRPr="00967ACF" w:rsidRDefault="00967ACF" w:rsidP="00967ACF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</w:p>
    <w:p w:rsidR="00967ACF" w:rsidRPr="00967ACF" w:rsidRDefault="00967ACF" w:rsidP="00967ACF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b/>
          <w:color w:val="000000"/>
          <w:sz w:val="24"/>
          <w:szCs w:val="24"/>
        </w:rPr>
      </w:pPr>
      <w:r w:rsidRPr="00967ACF">
        <w:rPr>
          <w:rFonts w:ascii="TT1Ao00" w:hAnsi="TT1Ao00" w:cs="TT1Ao00"/>
          <w:b/>
          <w:color w:val="000000"/>
          <w:sz w:val="24"/>
          <w:szCs w:val="24"/>
        </w:rPr>
        <w:t>Turnaj chlapci a dívky dohromady:</w:t>
      </w:r>
    </w:p>
    <w:p w:rsidR="00967ACF" w:rsidRDefault="00967ACF" w:rsidP="00967ACF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TT19o00" w:hAnsi="TT19o00" w:cs="TT19o00"/>
          <w:color w:val="000000"/>
          <w:sz w:val="24"/>
          <w:szCs w:val="24"/>
        </w:rPr>
        <w:t>Pořádá se pouze v letní sérii. Celkově se přijímá maximálně 48 dětí (optimálně 24 dívek a 24</w:t>
      </w:r>
    </w:p>
    <w:p w:rsidR="00967ACF" w:rsidRDefault="00967ACF" w:rsidP="00967ACF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TT19o00" w:hAnsi="TT19o00" w:cs="TT19o00"/>
          <w:color w:val="000000"/>
          <w:sz w:val="24"/>
          <w:szCs w:val="24"/>
        </w:rPr>
        <w:t>chlapců). V případě, že se např. přihlásí pouze 21 dívek, do počtu 48 se turnaj doplní chlapci</w:t>
      </w:r>
    </w:p>
    <w:p w:rsidR="00967ACF" w:rsidRPr="006E4D0E" w:rsidRDefault="00967ACF" w:rsidP="00967ACF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TT19o00" w:hAnsi="TT19o00" w:cs="TT19o00"/>
          <w:color w:val="000000"/>
          <w:sz w:val="24"/>
          <w:szCs w:val="24"/>
        </w:rPr>
        <w:t xml:space="preserve">nebo obráceně. 40 dětí bude přijato podle tabulky průběžného pořadí plus 8 volných karet. Do skupin budou nasazovány jedničky podle tabulek průběžného pořadí </w:t>
      </w:r>
      <w:proofErr w:type="gramStart"/>
      <w:r>
        <w:rPr>
          <w:rFonts w:ascii="TT19o00" w:hAnsi="TT19o00" w:cs="TT19o00"/>
          <w:color w:val="000000"/>
          <w:sz w:val="24"/>
          <w:szCs w:val="24"/>
        </w:rPr>
        <w:t>následovně - skupina</w:t>
      </w:r>
      <w:proofErr w:type="gramEnd"/>
      <w:r>
        <w:rPr>
          <w:rFonts w:ascii="TT19o00" w:hAnsi="TT19o00" w:cs="TT19o00"/>
          <w:color w:val="000000"/>
          <w:sz w:val="24"/>
          <w:szCs w:val="24"/>
        </w:rPr>
        <w:t xml:space="preserve"> A chlapci, skupina B dívky, skupina C chlapci, skupina D dívky atd. Ostatní děti budou </w:t>
      </w:r>
      <w:proofErr w:type="spellStart"/>
      <w:r>
        <w:rPr>
          <w:rFonts w:ascii="TT19o00" w:hAnsi="TT19o00" w:cs="TT19o00"/>
          <w:color w:val="000000"/>
          <w:sz w:val="24"/>
          <w:szCs w:val="24"/>
        </w:rPr>
        <w:t>dolosovány</w:t>
      </w:r>
      <w:proofErr w:type="spellEnd"/>
      <w:r>
        <w:rPr>
          <w:rFonts w:ascii="TT19o00" w:hAnsi="TT19o00" w:cs="TT19o00"/>
          <w:color w:val="000000"/>
          <w:sz w:val="24"/>
          <w:szCs w:val="24"/>
        </w:rPr>
        <w:t>.</w:t>
      </w:r>
    </w:p>
    <w:p w:rsidR="00967ACF" w:rsidRDefault="00967ACF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99032B" w:rsidRPr="00E40B1A" w:rsidRDefault="0099032B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40B1A" w:rsidRPr="00E40B1A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E40B1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Masters</w:t>
      </w:r>
      <w:proofErr w:type="spellEnd"/>
      <w:r w:rsidRPr="00E40B1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E40B1A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sz w:val="24"/>
          <w:szCs w:val="24"/>
          <w:lang w:eastAsia="cs-CZ"/>
        </w:rPr>
        <w:t>Poř</w:t>
      </w:r>
      <w:r w:rsidR="0099032B">
        <w:rPr>
          <w:rFonts w:eastAsia="Times New Roman" w:cs="Times New Roman"/>
          <w:sz w:val="24"/>
          <w:szCs w:val="24"/>
          <w:lang w:eastAsia="cs-CZ"/>
        </w:rPr>
        <w:t xml:space="preserve">adí do </w:t>
      </w:r>
      <w:proofErr w:type="spellStart"/>
      <w:r w:rsidR="0099032B">
        <w:rPr>
          <w:rFonts w:eastAsia="Times New Roman" w:cs="Times New Roman"/>
          <w:sz w:val="24"/>
          <w:szCs w:val="24"/>
          <w:lang w:eastAsia="cs-CZ"/>
        </w:rPr>
        <w:t>Masters</w:t>
      </w:r>
      <w:proofErr w:type="spellEnd"/>
      <w:r w:rsidR="0099032B">
        <w:rPr>
          <w:rFonts w:eastAsia="Times New Roman" w:cs="Times New Roman"/>
          <w:sz w:val="24"/>
          <w:szCs w:val="24"/>
          <w:lang w:eastAsia="cs-CZ"/>
        </w:rPr>
        <w:t xml:space="preserve"> se tvoří tak, že se sečtou nasbírané body </w:t>
      </w:r>
      <w:r w:rsidR="00120B12">
        <w:rPr>
          <w:rFonts w:eastAsia="Times New Roman" w:cs="Times New Roman"/>
          <w:sz w:val="24"/>
          <w:szCs w:val="24"/>
          <w:lang w:eastAsia="cs-CZ"/>
        </w:rPr>
        <w:t xml:space="preserve">z nejlepšího umístění na 4 </w:t>
      </w:r>
      <w:r w:rsidR="0099032B">
        <w:rPr>
          <w:rFonts w:eastAsia="Times New Roman" w:cs="Times New Roman"/>
          <w:sz w:val="24"/>
          <w:szCs w:val="24"/>
          <w:lang w:eastAsia="cs-CZ"/>
        </w:rPr>
        <w:t>základních turnaj</w:t>
      </w:r>
      <w:r w:rsidR="00120B12">
        <w:rPr>
          <w:rFonts w:eastAsia="Times New Roman" w:cs="Times New Roman"/>
          <w:sz w:val="24"/>
          <w:szCs w:val="24"/>
          <w:lang w:eastAsia="cs-CZ"/>
        </w:rPr>
        <w:t>ích</w:t>
      </w:r>
      <w:r w:rsidRPr="00E40B1A">
        <w:rPr>
          <w:rFonts w:eastAsia="Times New Roman" w:cs="Times New Roman"/>
          <w:sz w:val="24"/>
          <w:szCs w:val="24"/>
          <w:lang w:eastAsia="cs-CZ"/>
        </w:rPr>
        <w:t xml:space="preserve">. Do </w:t>
      </w:r>
      <w:proofErr w:type="spellStart"/>
      <w:r w:rsidRPr="00E40B1A">
        <w:rPr>
          <w:rFonts w:eastAsia="Times New Roman" w:cs="Times New Roman"/>
          <w:sz w:val="24"/>
          <w:szCs w:val="24"/>
          <w:lang w:eastAsia="cs-CZ"/>
        </w:rPr>
        <w:t>Masters</w:t>
      </w:r>
      <w:proofErr w:type="spellEnd"/>
      <w:r w:rsidRPr="00E40B1A">
        <w:rPr>
          <w:rFonts w:eastAsia="Times New Roman" w:cs="Times New Roman"/>
          <w:sz w:val="24"/>
          <w:szCs w:val="24"/>
          <w:lang w:eastAsia="cs-CZ"/>
        </w:rPr>
        <w:t xml:space="preserve"> pak postupuje 9 nejlépe umístěných děvčat a 9 nejlépe umístěných chlapců plus jedna volná karta pořadatele </w:t>
      </w:r>
      <w:r w:rsidRPr="001B4EB7">
        <w:rPr>
          <w:rFonts w:eastAsia="Times New Roman" w:cs="Times New Roman"/>
          <w:sz w:val="24"/>
          <w:szCs w:val="24"/>
          <w:lang w:eastAsia="cs-CZ"/>
        </w:rPr>
        <w:t>v každé kategorii.  V případě s</w:t>
      </w:r>
      <w:r w:rsidRPr="00E40B1A">
        <w:rPr>
          <w:rFonts w:eastAsia="Times New Roman" w:cs="Times New Roman"/>
          <w:sz w:val="24"/>
          <w:szCs w:val="24"/>
          <w:lang w:eastAsia="cs-CZ"/>
        </w:rPr>
        <w:t xml:space="preserve">hodného počtu bodů, si pořadatel vyhrazuje právo rozhodnout o postupujícím. Hrají se dvě skupiny po 5 hráčích, první dva se nasadí, poté se </w:t>
      </w:r>
      <w:proofErr w:type="spellStart"/>
      <w:r w:rsidRPr="00E40B1A">
        <w:rPr>
          <w:rFonts w:eastAsia="Times New Roman" w:cs="Times New Roman"/>
          <w:sz w:val="24"/>
          <w:szCs w:val="24"/>
          <w:lang w:eastAsia="cs-CZ"/>
        </w:rPr>
        <w:t>dolosují</w:t>
      </w:r>
      <w:proofErr w:type="spellEnd"/>
      <w:r w:rsidRPr="00E40B1A">
        <w:rPr>
          <w:rFonts w:eastAsia="Times New Roman" w:cs="Times New Roman"/>
          <w:sz w:val="24"/>
          <w:szCs w:val="24"/>
          <w:lang w:eastAsia="cs-CZ"/>
        </w:rPr>
        <w:t xml:space="preserve"> 3. a 4., následně se </w:t>
      </w:r>
      <w:proofErr w:type="spellStart"/>
      <w:r w:rsidRPr="00E40B1A">
        <w:rPr>
          <w:rFonts w:eastAsia="Times New Roman" w:cs="Times New Roman"/>
          <w:sz w:val="24"/>
          <w:szCs w:val="24"/>
          <w:lang w:eastAsia="cs-CZ"/>
        </w:rPr>
        <w:t>dolosují</w:t>
      </w:r>
      <w:proofErr w:type="spellEnd"/>
      <w:r w:rsidRPr="00E40B1A">
        <w:rPr>
          <w:rFonts w:eastAsia="Times New Roman" w:cs="Times New Roman"/>
          <w:sz w:val="24"/>
          <w:szCs w:val="24"/>
          <w:lang w:eastAsia="cs-CZ"/>
        </w:rPr>
        <w:t xml:space="preserve"> ostatní. Do pavouka postupují dva hráči, kde hraje 1. s 2. druhé skupiny. Závěrečné MASTERS chceme dětem zpestřit nevšedním přístupem - slavnostní zahájení, nástup a představení všech kvalifikovaných hráčů, tenisová exhibice s obřími raketami, společný oběd, rozhovory, videa, tipovací soutěž pro všechny hráče i rodiče a v neposlední řadě zakončení turnaje, kde každý zúčastněný hráč obdrží za předvedené výkony věcné ceny. </w:t>
      </w:r>
    </w:p>
    <w:p w:rsidR="0099032B" w:rsidRPr="00E40B1A" w:rsidRDefault="0099032B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40B1A" w:rsidRPr="00E40B1A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Kritérium pro postup z tabulky do finálového pavouka:</w:t>
      </w:r>
    </w:p>
    <w:p w:rsidR="00E40B1A" w:rsidRPr="00E40B1A" w:rsidRDefault="00E40B1A" w:rsidP="001B4EB7">
      <w:pPr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sz w:val="24"/>
          <w:szCs w:val="24"/>
          <w:lang w:eastAsia="cs-CZ"/>
        </w:rPr>
        <w:t>Počet vítězství</w:t>
      </w:r>
    </w:p>
    <w:p w:rsidR="00E40B1A" w:rsidRPr="00E40B1A" w:rsidRDefault="00E40B1A" w:rsidP="001B4EB7">
      <w:pPr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sz w:val="24"/>
          <w:szCs w:val="24"/>
          <w:lang w:eastAsia="cs-CZ"/>
        </w:rPr>
        <w:t>V případě stejného počtu vyhraných zápasů u dvou hráčů - rozhoduje vzájemný zápas.</w:t>
      </w:r>
    </w:p>
    <w:p w:rsidR="00E40B1A" w:rsidRPr="00E40B1A" w:rsidRDefault="00E40B1A" w:rsidP="001B4EB7">
      <w:pPr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sz w:val="24"/>
          <w:szCs w:val="24"/>
          <w:lang w:eastAsia="cs-CZ"/>
        </w:rPr>
        <w:t xml:space="preserve">V případě stejného počtu vyhraných zápasů u více hráčů než dvou - rozhoduje součet vyhraných mínus součet prohraných </w:t>
      </w:r>
      <w:proofErr w:type="spellStart"/>
      <w:r w:rsidRPr="00E40B1A">
        <w:rPr>
          <w:rFonts w:eastAsia="Times New Roman" w:cs="Times New Roman"/>
          <w:sz w:val="24"/>
          <w:szCs w:val="24"/>
          <w:lang w:eastAsia="cs-CZ"/>
        </w:rPr>
        <w:t>gemů</w:t>
      </w:r>
      <w:proofErr w:type="spellEnd"/>
      <w:r w:rsidRPr="00E40B1A">
        <w:rPr>
          <w:rFonts w:eastAsia="Times New Roman" w:cs="Times New Roman"/>
          <w:sz w:val="24"/>
          <w:szCs w:val="24"/>
          <w:lang w:eastAsia="cs-CZ"/>
        </w:rPr>
        <w:t xml:space="preserve"> – vyšší výsledek --&gt; pokud mají dva hráči </w:t>
      </w:r>
      <w:r w:rsidRPr="00E40B1A">
        <w:rPr>
          <w:rFonts w:eastAsia="Times New Roman" w:cs="Times New Roman"/>
          <w:sz w:val="24"/>
          <w:szCs w:val="24"/>
          <w:lang w:eastAsia="cs-CZ"/>
        </w:rPr>
        <w:lastRenderedPageBreak/>
        <w:t>stejný výsledek, rozhoduje u nich vzájemný zápas --&gt; pokud toto nelze použít, losují si o postup.</w:t>
      </w:r>
    </w:p>
    <w:p w:rsidR="006D7768" w:rsidRDefault="006D7768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40B1A" w:rsidRPr="00E40B1A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sz w:val="24"/>
          <w:szCs w:val="24"/>
          <w:lang w:eastAsia="cs-CZ"/>
        </w:rPr>
        <w:t> </w:t>
      </w:r>
      <w:r w:rsidRPr="00E40B1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Losování pavouka:</w:t>
      </w:r>
    </w:p>
    <w:p w:rsidR="00E40B1A" w:rsidRPr="00E40B1A" w:rsidRDefault="00E40B1A" w:rsidP="001B4EB7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sz w:val="24"/>
          <w:szCs w:val="24"/>
          <w:lang w:eastAsia="cs-CZ"/>
        </w:rPr>
        <w:t xml:space="preserve">Vítězové skupin mají pevné místo v pavouku, každý turnaj je to stejné. Druzí ze skupiny se </w:t>
      </w:r>
      <w:proofErr w:type="spellStart"/>
      <w:r w:rsidRPr="00E40B1A">
        <w:rPr>
          <w:rFonts w:eastAsia="Times New Roman" w:cs="Times New Roman"/>
          <w:sz w:val="24"/>
          <w:szCs w:val="24"/>
          <w:lang w:eastAsia="cs-CZ"/>
        </w:rPr>
        <w:t>dolosovávají</w:t>
      </w:r>
      <w:proofErr w:type="spellEnd"/>
      <w:r w:rsidRPr="00E40B1A">
        <w:rPr>
          <w:rFonts w:eastAsia="Times New Roman" w:cs="Times New Roman"/>
          <w:sz w:val="24"/>
          <w:szCs w:val="24"/>
          <w:lang w:eastAsia="cs-CZ"/>
        </w:rPr>
        <w:t xml:space="preserve"> tak, aby byli ve druhé polovině </w:t>
      </w:r>
      <w:proofErr w:type="gramStart"/>
      <w:r w:rsidRPr="00E40B1A">
        <w:rPr>
          <w:rFonts w:eastAsia="Times New Roman" w:cs="Times New Roman"/>
          <w:sz w:val="24"/>
          <w:szCs w:val="24"/>
          <w:lang w:eastAsia="cs-CZ"/>
        </w:rPr>
        <w:t>pavouka</w:t>
      </w:r>
      <w:proofErr w:type="gramEnd"/>
      <w:r w:rsidRPr="00E40B1A">
        <w:rPr>
          <w:rFonts w:eastAsia="Times New Roman" w:cs="Times New Roman"/>
          <w:sz w:val="24"/>
          <w:szCs w:val="24"/>
          <w:lang w:eastAsia="cs-CZ"/>
        </w:rPr>
        <w:t xml:space="preserve"> než vítěz jejich skupiny.</w:t>
      </w:r>
      <w:r w:rsidR="001A3ECF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1B4EB7" w:rsidRDefault="001B4EB7" w:rsidP="00E4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D7768" w:rsidRDefault="006D7768" w:rsidP="00E4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6D7768" w:rsidRDefault="006D7768" w:rsidP="00E4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E40B1A" w:rsidRPr="0099032B" w:rsidRDefault="001B4EB7" w:rsidP="00E4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99032B">
        <w:rPr>
          <w:rFonts w:eastAsia="Times New Roman" w:cs="Times New Roman"/>
          <w:b/>
          <w:sz w:val="24"/>
          <w:szCs w:val="24"/>
          <w:u w:val="single"/>
          <w:lang w:eastAsia="cs-CZ"/>
        </w:rPr>
        <w:t>Termíny turnajů:</w:t>
      </w:r>
    </w:p>
    <w:tbl>
      <w:tblPr>
        <w:tblW w:w="7374" w:type="dxa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5"/>
        <w:gridCol w:w="5929"/>
      </w:tblGrid>
      <w:tr w:rsidR="0099032B" w:rsidRPr="0099032B" w:rsidTr="0099032B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99032B" w:rsidRPr="0099032B" w:rsidRDefault="00D308FE" w:rsidP="009903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5748EF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18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. </w:t>
            </w:r>
            <w:r w:rsidR="005748EF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 20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99032B" w:rsidRPr="0099032B" w:rsidRDefault="0099032B" w:rsidP="009903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Sparta </w:t>
            </w:r>
            <w:proofErr w:type="spellStart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Head</w:t>
            </w:r>
            <w:proofErr w:type="spell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Babytenis</w:t>
            </w:r>
            <w:proofErr w:type="spell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Tour </w:t>
            </w:r>
            <w:r w:rsidR="005748EF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L</w:t>
            </w: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D308F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</w:t>
            </w: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I.</w:t>
            </w:r>
            <w:r w:rsidR="005748EF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– hraje se na Olympu</w:t>
            </w:r>
          </w:p>
        </w:tc>
      </w:tr>
      <w:tr w:rsidR="0099032B" w:rsidRPr="0099032B" w:rsidTr="0099032B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99032B" w:rsidRPr="0099032B" w:rsidRDefault="005748EF" w:rsidP="009903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D308F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  <w:r w:rsid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7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  <w:r w:rsid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201</w:t>
            </w:r>
            <w:r w:rsidR="00D308F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99032B" w:rsidRPr="0099032B" w:rsidRDefault="0099032B" w:rsidP="005748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Sparta </w:t>
            </w:r>
            <w:proofErr w:type="spellStart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Head</w:t>
            </w:r>
            <w:proofErr w:type="spell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Babytenis</w:t>
            </w:r>
            <w:proofErr w:type="spell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Tour </w:t>
            </w:r>
            <w:r w:rsidR="00CA3E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L</w:t>
            </w: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D308F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</w:t>
            </w: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II.</w:t>
            </w:r>
          </w:p>
        </w:tc>
      </w:tr>
      <w:tr w:rsidR="0099032B" w:rsidRPr="0099032B" w:rsidTr="0099032B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99032B" w:rsidRPr="0099032B" w:rsidRDefault="00383B3A" w:rsidP="009903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B37B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</w:t>
            </w:r>
            <w:r w:rsidR="00967ACF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 w:rsidR="00B37B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B37B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7.</w:t>
            </w:r>
            <w:r w:rsid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201</w:t>
            </w:r>
            <w:r w:rsidR="00D308F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99032B" w:rsidRPr="0099032B" w:rsidRDefault="0099032B" w:rsidP="009903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Sparta </w:t>
            </w:r>
            <w:proofErr w:type="spellStart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Head</w:t>
            </w:r>
            <w:proofErr w:type="spell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Babytenis</w:t>
            </w:r>
            <w:proofErr w:type="spell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Tour </w:t>
            </w:r>
            <w:proofErr w:type="gramStart"/>
            <w:r w:rsidR="00383B3A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L</w:t>
            </w: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D308F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</w:t>
            </w: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III</w:t>
            </w:r>
            <w:proofErr w:type="gram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99032B" w:rsidRPr="0099032B" w:rsidTr="0099032B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99032B" w:rsidRPr="0099032B" w:rsidRDefault="00383B3A" w:rsidP="009903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4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  <w:r w:rsid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8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  <w:r w:rsid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201</w:t>
            </w:r>
            <w:r w:rsidR="00D308F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A3E29" w:rsidRPr="00CA3E29" w:rsidRDefault="0099032B" w:rsidP="0099032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Sparta </w:t>
            </w:r>
            <w:proofErr w:type="spellStart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Head</w:t>
            </w:r>
            <w:proofErr w:type="spell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Babytenis</w:t>
            </w:r>
            <w:proofErr w:type="spell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Tour </w:t>
            </w:r>
            <w:r w:rsidR="00383B3A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L</w:t>
            </w: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D308F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</w:t>
            </w: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IV.</w:t>
            </w:r>
          </w:p>
        </w:tc>
      </w:tr>
      <w:tr w:rsidR="0099032B" w:rsidRPr="0099032B" w:rsidTr="0099032B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99032B" w:rsidRPr="0099032B" w:rsidRDefault="00D308FE" w:rsidP="009903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383B3A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25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  <w:r w:rsid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383B3A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8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  <w:r w:rsid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99032B"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99032B" w:rsidRPr="0099032B" w:rsidRDefault="0099032B" w:rsidP="009903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Sparta </w:t>
            </w:r>
            <w:proofErr w:type="spellStart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Head</w:t>
            </w:r>
            <w:proofErr w:type="spell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Babytenis</w:t>
            </w:r>
            <w:proofErr w:type="spellEnd"/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Tour </w:t>
            </w:r>
            <w:r w:rsidR="00383B3A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L</w:t>
            </w: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D308F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</w:t>
            </w:r>
            <w:r w:rsidRPr="0099032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</w:t>
            </w:r>
            <w:r w:rsidR="00383B3A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V.</w:t>
            </w:r>
            <w:r w:rsidR="00CA3E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</w:t>
            </w:r>
          </w:p>
        </w:tc>
      </w:tr>
    </w:tbl>
    <w:p w:rsidR="0099032B" w:rsidRPr="00CA3E29" w:rsidRDefault="00CA3E29" w:rsidP="00CA3E2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       </w:t>
      </w:r>
      <w:r w:rsidRPr="00CA3E29">
        <w:rPr>
          <w:rFonts w:eastAsia="Times New Roman" w:cs="Times New Roman"/>
          <w:bCs/>
          <w:sz w:val="24"/>
          <w:szCs w:val="24"/>
          <w:lang w:eastAsia="cs-CZ"/>
        </w:rPr>
        <w:t>1.9.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Pr="00CA3E29">
        <w:rPr>
          <w:rFonts w:eastAsia="Times New Roman" w:cs="Times New Roman"/>
          <w:bCs/>
          <w:sz w:val="24"/>
          <w:szCs w:val="24"/>
          <w:lang w:eastAsia="cs-CZ"/>
        </w:rPr>
        <w:t>2019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    Sparta </w:t>
      </w:r>
      <w:proofErr w:type="spellStart"/>
      <w:r>
        <w:rPr>
          <w:rFonts w:eastAsia="Times New Roman" w:cs="Times New Roman"/>
          <w:bCs/>
          <w:sz w:val="24"/>
          <w:szCs w:val="24"/>
          <w:lang w:eastAsia="cs-CZ"/>
        </w:rPr>
        <w:t>Head</w:t>
      </w:r>
      <w:proofErr w:type="spellEnd"/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cs-CZ"/>
        </w:rPr>
        <w:t>Babytenis</w:t>
      </w:r>
      <w:proofErr w:type="spellEnd"/>
      <w:r>
        <w:rPr>
          <w:rFonts w:eastAsia="Times New Roman" w:cs="Times New Roman"/>
          <w:bCs/>
          <w:sz w:val="24"/>
          <w:szCs w:val="24"/>
          <w:lang w:eastAsia="cs-CZ"/>
        </w:rPr>
        <w:t xml:space="preserve"> Tour </w:t>
      </w:r>
      <w:proofErr w:type="spellStart"/>
      <w:r>
        <w:rPr>
          <w:rFonts w:eastAsia="Times New Roman" w:cs="Times New Roman"/>
          <w:bCs/>
          <w:sz w:val="24"/>
          <w:szCs w:val="24"/>
          <w:lang w:eastAsia="cs-CZ"/>
        </w:rPr>
        <w:t>Masters</w:t>
      </w:r>
      <w:proofErr w:type="spellEnd"/>
    </w:p>
    <w:p w:rsidR="003A47F2" w:rsidRDefault="003A47F2" w:rsidP="00E40B1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Prezentace:</w:t>
      </w:r>
    </w:p>
    <w:p w:rsidR="006D7768" w:rsidRPr="0099032B" w:rsidRDefault="006D7768" w:rsidP="006D7768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6D7768">
        <w:rPr>
          <w:rFonts w:eastAsia="Times New Roman" w:cs="Times New Roman"/>
          <w:bCs/>
          <w:sz w:val="24"/>
          <w:szCs w:val="24"/>
          <w:lang w:eastAsia="cs-CZ"/>
        </w:rPr>
        <w:t>Je uvedena v IS ČTS u konkrétního turnaje. Čtěte prosím také poznámky, které jsou uvedeny u jednotlivých turnajů.</w:t>
      </w:r>
      <w:r w:rsidR="00061160">
        <w:rPr>
          <w:rFonts w:eastAsia="Times New Roman" w:cs="Times New Roman"/>
          <w:bCs/>
          <w:sz w:val="24"/>
          <w:szCs w:val="24"/>
          <w:lang w:eastAsia="cs-CZ"/>
        </w:rPr>
        <w:t xml:space="preserve"> Jsou tam uvedeny případné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změny.</w:t>
      </w:r>
    </w:p>
    <w:p w:rsidR="0099032B" w:rsidRDefault="0099032B" w:rsidP="00E40B1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E40B1A" w:rsidRPr="00E40B1A" w:rsidRDefault="00E40B1A" w:rsidP="00E40B1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40B1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Tabulka bodů:</w:t>
      </w:r>
      <w:r w:rsidRPr="00E40B1A">
        <w:rPr>
          <w:rFonts w:eastAsia="Times New Roman" w:cs="Times New Roman"/>
          <w:sz w:val="24"/>
          <w:szCs w:val="24"/>
          <w:lang w:eastAsia="cs-CZ"/>
        </w:rPr>
        <w:t> </w:t>
      </w:r>
    </w:p>
    <w:tbl>
      <w:tblPr>
        <w:tblW w:w="750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12"/>
        <w:gridCol w:w="2693"/>
      </w:tblGrid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Základní skupina: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Počet získaných bodů: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1. místo postupuje do finálového pavouka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dle umístění v pavouku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2. místo postupuje do finálového pavouka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dle umístění v pavouku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3. místo ve skupině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B1A" w:rsidRPr="00E40B1A" w:rsidRDefault="007B7E75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E40B1A"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. místo ve skupině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B1A" w:rsidRPr="00E40B1A" w:rsidRDefault="007B7E75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  <w:r w:rsidR="00E40B1A"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. místo ve skupině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Finálový pavouk:                                                 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noWrap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Počet získaných bodů: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Vítěz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E6E5E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300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Finalista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E6E5E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250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Semifinalisté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E6E5E" w:rsidP="00796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Čtvrtfinalisté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E6E5E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16 pavouk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E6E5E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  <w:r w:rsidR="00E40B1A"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32 pavouk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40B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Masters</w:t>
            </w:r>
            <w:proofErr w:type="spellEnd"/>
            <w:r w:rsidRPr="00E40B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:                                                    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Počet získaných bodů: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Vítěz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E6E5E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600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Finalista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6971BE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500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Semifinalisté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E6E5E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3. místo ve skupině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E6E5E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4. místo ve skupině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E6E5E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E40B1A" w:rsidRPr="00E40B1A" w:rsidTr="007961A3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E40B1A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40B1A">
              <w:rPr>
                <w:rFonts w:eastAsia="Times New Roman" w:cs="Times New Roman"/>
                <w:sz w:val="24"/>
                <w:szCs w:val="24"/>
                <w:lang w:eastAsia="cs-CZ"/>
              </w:rPr>
              <w:t>5. místo ve skupině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1A" w:rsidRPr="00E40B1A" w:rsidRDefault="006971BE" w:rsidP="00E40B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</w:tbl>
    <w:p w:rsidR="00993539" w:rsidRPr="001B4EB7" w:rsidRDefault="00993539">
      <w:pPr>
        <w:rPr>
          <w:sz w:val="24"/>
          <w:szCs w:val="24"/>
        </w:rPr>
      </w:pPr>
    </w:p>
    <w:sectPr w:rsidR="00993539" w:rsidRPr="001B4EB7" w:rsidSect="006D776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44BC"/>
    <w:multiLevelType w:val="multilevel"/>
    <w:tmpl w:val="54D8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1A"/>
    <w:rsid w:val="00061160"/>
    <w:rsid w:val="00120B12"/>
    <w:rsid w:val="001A3ECF"/>
    <w:rsid w:val="001B4EB7"/>
    <w:rsid w:val="001C6F35"/>
    <w:rsid w:val="00383B3A"/>
    <w:rsid w:val="003A47F2"/>
    <w:rsid w:val="00424A4E"/>
    <w:rsid w:val="005748EF"/>
    <w:rsid w:val="006971BE"/>
    <w:rsid w:val="006D7768"/>
    <w:rsid w:val="007111B5"/>
    <w:rsid w:val="00712393"/>
    <w:rsid w:val="007961A3"/>
    <w:rsid w:val="007B7E75"/>
    <w:rsid w:val="008C7385"/>
    <w:rsid w:val="00967ACF"/>
    <w:rsid w:val="0099032B"/>
    <w:rsid w:val="00993539"/>
    <w:rsid w:val="00B37B23"/>
    <w:rsid w:val="00CA3E29"/>
    <w:rsid w:val="00D257A5"/>
    <w:rsid w:val="00D308FE"/>
    <w:rsid w:val="00E06333"/>
    <w:rsid w:val="00E40B1A"/>
    <w:rsid w:val="00EE6E5E"/>
    <w:rsid w:val="00F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4D1E"/>
  <w15:chartTrackingRefBased/>
  <w15:docId w15:val="{401A6D96-C9AF-444E-B3EE-407E28A5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B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C7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kl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Lásková</dc:creator>
  <cp:keywords/>
  <dc:description/>
  <cp:lastModifiedBy>alice riklova</cp:lastModifiedBy>
  <cp:revision>18</cp:revision>
  <cp:lastPrinted>2017-11-06T20:32:00Z</cp:lastPrinted>
  <dcterms:created xsi:type="dcterms:W3CDTF">2017-11-06T20:33:00Z</dcterms:created>
  <dcterms:modified xsi:type="dcterms:W3CDTF">2019-03-28T20:28:00Z</dcterms:modified>
</cp:coreProperties>
</file>